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7D1E7" w14:textId="77777777" w:rsidR="00366A1C" w:rsidRPr="00E05D73" w:rsidRDefault="00046437" w:rsidP="001545A6">
      <w:pPr>
        <w:pStyle w:val="Title"/>
        <w:jc w:val="left"/>
        <w:rPr>
          <w:b w:val="0"/>
          <w:sz w:val="24"/>
          <w:szCs w:val="24"/>
        </w:rPr>
      </w:pPr>
      <w:r w:rsidRPr="00E05D73">
        <w:rPr>
          <w:b w:val="0"/>
          <w:sz w:val="24"/>
          <w:szCs w:val="24"/>
        </w:rPr>
        <w:t>CJENIK</w:t>
      </w:r>
      <w:r w:rsidR="00A96AF1">
        <w:rPr>
          <w:b w:val="0"/>
          <w:sz w:val="24"/>
          <w:szCs w:val="24"/>
        </w:rPr>
        <w:t xml:space="preserve"> </w:t>
      </w:r>
      <w:r w:rsidR="00110BAD">
        <w:rPr>
          <w:b w:val="0"/>
          <w:sz w:val="24"/>
          <w:szCs w:val="24"/>
        </w:rPr>
        <w:t xml:space="preserve">A1 HRVATSKA </w:t>
      </w:r>
      <w:r w:rsidR="00A96AF1">
        <w:rPr>
          <w:b w:val="0"/>
          <w:sz w:val="24"/>
          <w:szCs w:val="24"/>
        </w:rPr>
        <w:t xml:space="preserve"> EKI</w:t>
      </w:r>
    </w:p>
    <w:p w14:paraId="1ACC6BBA" w14:textId="77777777" w:rsidR="00E62E92" w:rsidRPr="005C6B08" w:rsidRDefault="00E62E92" w:rsidP="00E62E92">
      <w:pPr>
        <w:pStyle w:val="Heading1"/>
      </w:pPr>
      <w:r>
        <w:t>Z</w:t>
      </w:r>
      <w:r w:rsidRPr="00366A1C">
        <w:t xml:space="preserve">akup </w:t>
      </w:r>
      <w:r>
        <w:t>infrastrukture</w:t>
      </w:r>
    </w:p>
    <w:p w14:paraId="2F4D8C1F" w14:textId="77777777" w:rsidR="00E62E92" w:rsidRDefault="00E62E92" w:rsidP="00E62E92">
      <w:pPr>
        <w:rPr>
          <w:rFonts w:cs="Calibri"/>
        </w:rPr>
      </w:pPr>
    </w:p>
    <w:tbl>
      <w:tblPr>
        <w:tblW w:w="8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5833"/>
        <w:gridCol w:w="945"/>
        <w:gridCol w:w="1417"/>
      </w:tblGrid>
      <w:tr w:rsidR="00390FCC" w:rsidRPr="00AC4AD6" w14:paraId="1CCB4DA3" w14:textId="77777777" w:rsidTr="00390FCC">
        <w:trPr>
          <w:trHeight w:val="340"/>
        </w:trPr>
        <w:tc>
          <w:tcPr>
            <w:tcW w:w="654" w:type="dxa"/>
            <w:shd w:val="clear" w:color="auto" w:fill="A6A6A6"/>
            <w:noWrap/>
          </w:tcPr>
          <w:p w14:paraId="4D055B06" w14:textId="77777777" w:rsidR="00390FCC" w:rsidRPr="00AC4AD6" w:rsidRDefault="00390FCC" w:rsidP="00210FC8">
            <w:pPr>
              <w:rPr>
                <w:rFonts w:cs="Calibri"/>
                <w:b/>
                <w:szCs w:val="22"/>
              </w:rPr>
            </w:pPr>
            <w:r w:rsidRPr="00AC4AD6">
              <w:rPr>
                <w:rFonts w:cs="Calibri"/>
                <w:b/>
                <w:szCs w:val="22"/>
              </w:rPr>
              <w:t>R.br.</w:t>
            </w:r>
          </w:p>
        </w:tc>
        <w:tc>
          <w:tcPr>
            <w:tcW w:w="5833" w:type="dxa"/>
            <w:shd w:val="clear" w:color="auto" w:fill="A6A6A6"/>
            <w:noWrap/>
          </w:tcPr>
          <w:p w14:paraId="6181E63F" w14:textId="77777777" w:rsidR="00390FCC" w:rsidRPr="00AC4AD6" w:rsidRDefault="00390FCC" w:rsidP="00110BAD">
            <w:pPr>
              <w:rPr>
                <w:rFonts w:cs="Calibri"/>
                <w:b/>
                <w:szCs w:val="22"/>
              </w:rPr>
            </w:pPr>
            <w:r w:rsidRPr="00AC4AD6">
              <w:rPr>
                <w:rFonts w:cs="Calibri"/>
                <w:b/>
                <w:szCs w:val="22"/>
              </w:rPr>
              <w:t>Element</w:t>
            </w:r>
            <w:r>
              <w:rPr>
                <w:rFonts w:cs="Calibri"/>
                <w:b/>
                <w:szCs w:val="22"/>
              </w:rPr>
              <w:t xml:space="preserve"> zakupa</w:t>
            </w:r>
            <w:r w:rsidRPr="00AC4AD6">
              <w:rPr>
                <w:rFonts w:cs="Calibri"/>
                <w:b/>
                <w:szCs w:val="22"/>
              </w:rPr>
              <w:t xml:space="preserve"> infrastrukture</w:t>
            </w:r>
            <w:r w:rsidR="00A96AF1">
              <w:rPr>
                <w:rFonts w:cs="Calibri"/>
                <w:b/>
                <w:szCs w:val="22"/>
              </w:rPr>
              <w:t xml:space="preserve"> </w:t>
            </w:r>
            <w:r w:rsidR="00110BAD">
              <w:rPr>
                <w:rFonts w:cs="Calibri"/>
                <w:b/>
                <w:szCs w:val="22"/>
              </w:rPr>
              <w:t>A1 HRVATSKA d.o.o.</w:t>
            </w:r>
          </w:p>
        </w:tc>
        <w:tc>
          <w:tcPr>
            <w:tcW w:w="945" w:type="dxa"/>
            <w:shd w:val="clear" w:color="auto" w:fill="A6A6A6"/>
            <w:noWrap/>
          </w:tcPr>
          <w:p w14:paraId="4F6ADC66" w14:textId="77777777" w:rsidR="00390FCC" w:rsidRPr="00AC4AD6" w:rsidRDefault="00390FCC" w:rsidP="00210FC8">
            <w:pPr>
              <w:jc w:val="center"/>
              <w:rPr>
                <w:rFonts w:cs="Calibri"/>
                <w:b/>
                <w:szCs w:val="22"/>
              </w:rPr>
            </w:pPr>
            <w:r w:rsidRPr="00AC4AD6">
              <w:rPr>
                <w:rFonts w:cs="Calibri"/>
                <w:b/>
                <w:szCs w:val="22"/>
              </w:rPr>
              <w:t>Jedinica</w:t>
            </w:r>
          </w:p>
          <w:p w14:paraId="519602E8" w14:textId="77777777" w:rsidR="00390FCC" w:rsidRPr="00AC4AD6" w:rsidRDefault="00390FCC" w:rsidP="00210FC8">
            <w:pPr>
              <w:jc w:val="center"/>
              <w:rPr>
                <w:rFonts w:cs="Calibri"/>
                <w:b/>
                <w:szCs w:val="22"/>
              </w:rPr>
            </w:pPr>
            <w:r w:rsidRPr="00AC4AD6">
              <w:rPr>
                <w:rFonts w:cs="Calibri"/>
                <w:b/>
                <w:szCs w:val="22"/>
              </w:rPr>
              <w:t>mjere</w:t>
            </w:r>
          </w:p>
        </w:tc>
        <w:tc>
          <w:tcPr>
            <w:tcW w:w="1417" w:type="dxa"/>
            <w:shd w:val="clear" w:color="auto" w:fill="A6A6A6"/>
            <w:noWrap/>
          </w:tcPr>
          <w:p w14:paraId="02FA4D8F" w14:textId="77777777" w:rsidR="00390FCC" w:rsidRPr="00AC4AD6" w:rsidRDefault="00390FCC" w:rsidP="00210FC8">
            <w:pPr>
              <w:jc w:val="center"/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Cijena</w:t>
            </w:r>
          </w:p>
          <w:p w14:paraId="577E212B" w14:textId="068AB381" w:rsidR="00390FCC" w:rsidRPr="00AC4AD6" w:rsidRDefault="001C72A2" w:rsidP="00210FC8">
            <w:pPr>
              <w:jc w:val="center"/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EUR</w:t>
            </w:r>
            <w:r w:rsidR="00390FCC" w:rsidRPr="00AC4AD6">
              <w:rPr>
                <w:rFonts w:cs="Calibri"/>
                <w:b/>
                <w:szCs w:val="22"/>
              </w:rPr>
              <w:t>/mjesec</w:t>
            </w:r>
          </w:p>
        </w:tc>
      </w:tr>
      <w:tr w:rsidR="00390FCC" w:rsidRPr="00AC4AD6" w14:paraId="1EE615F3" w14:textId="77777777" w:rsidTr="00390FCC">
        <w:trPr>
          <w:trHeight w:val="340"/>
        </w:trPr>
        <w:tc>
          <w:tcPr>
            <w:tcW w:w="654" w:type="dxa"/>
            <w:noWrap/>
          </w:tcPr>
          <w:p w14:paraId="3E6E169E" w14:textId="77777777" w:rsidR="00390FCC" w:rsidRPr="00AC4AD6" w:rsidRDefault="00390FCC" w:rsidP="00210FC8">
            <w:pPr>
              <w:rPr>
                <w:rFonts w:cs="Calibri"/>
                <w:szCs w:val="22"/>
              </w:rPr>
            </w:pPr>
            <w:r w:rsidRPr="00AC4AD6">
              <w:rPr>
                <w:rFonts w:cs="Calibri"/>
                <w:szCs w:val="22"/>
              </w:rPr>
              <w:t>1</w:t>
            </w:r>
          </w:p>
        </w:tc>
        <w:tc>
          <w:tcPr>
            <w:tcW w:w="5833" w:type="dxa"/>
          </w:tcPr>
          <w:p w14:paraId="20669247" w14:textId="77777777" w:rsidR="00390FCC" w:rsidRPr="00CC4614" w:rsidRDefault="00390FCC" w:rsidP="00210FC8">
            <w:pPr>
              <w:rPr>
                <w:rFonts w:cs="Calibri"/>
                <w:b/>
                <w:szCs w:val="22"/>
              </w:rPr>
            </w:pPr>
            <w:r w:rsidRPr="00CC4614">
              <w:rPr>
                <w:rFonts w:cs="Calibri"/>
                <w:b/>
                <w:szCs w:val="22"/>
              </w:rPr>
              <w:t>Naknada za instaliranu snagu</w:t>
            </w:r>
            <w:r w:rsidR="00A75E5A">
              <w:rPr>
                <w:rFonts w:cs="Calibri"/>
                <w:b/>
                <w:szCs w:val="22"/>
              </w:rPr>
              <w:t xml:space="preserve"> </w:t>
            </w:r>
            <w:r w:rsidRPr="00CC4614">
              <w:rPr>
                <w:rFonts w:cs="Calibri"/>
                <w:b/>
                <w:szCs w:val="22"/>
              </w:rPr>
              <w:t># Mrežno AC 230-400 V</w:t>
            </w:r>
          </w:p>
          <w:p w14:paraId="1A067055" w14:textId="77777777" w:rsidR="00390FCC" w:rsidRPr="001270B6" w:rsidRDefault="00110BAD" w:rsidP="00210FC8">
            <w:p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A1</w:t>
            </w:r>
            <w:r w:rsidR="00390FCC" w:rsidRPr="001270B6">
              <w:rPr>
                <w:rFonts w:cs="Calibri"/>
                <w:i/>
                <w:sz w:val="20"/>
                <w:szCs w:val="20"/>
              </w:rPr>
              <w:t>, u sklopu pružanja usluga zakupa infrastrukture i ostalih usluga, daje</w:t>
            </w:r>
            <w:r w:rsidR="00390FCC">
              <w:rPr>
                <w:rFonts w:cs="Calibri"/>
                <w:i/>
                <w:sz w:val="20"/>
                <w:szCs w:val="20"/>
              </w:rPr>
              <w:t xml:space="preserve"> priključak opreme Zakupnika na svoju elektro-energetsku instalaciju</w:t>
            </w:r>
            <w:r w:rsidR="00390FCC" w:rsidRPr="001270B6">
              <w:rPr>
                <w:rFonts w:cs="Calibri"/>
                <w:i/>
                <w:sz w:val="20"/>
                <w:szCs w:val="20"/>
              </w:rPr>
              <w:t>. Naknada uključuje potrošnju električne energije.</w:t>
            </w:r>
          </w:p>
          <w:p w14:paraId="04102BBF" w14:textId="77777777" w:rsidR="00390FCC" w:rsidRPr="00F6635E" w:rsidRDefault="00390FCC" w:rsidP="00210FC8">
            <w:pPr>
              <w:rPr>
                <w:rFonts w:cs="Calibri"/>
                <w:sz w:val="20"/>
                <w:szCs w:val="20"/>
              </w:rPr>
            </w:pPr>
            <w:r w:rsidRPr="001270B6">
              <w:rPr>
                <w:rFonts w:cs="Calibri"/>
                <w:i/>
                <w:sz w:val="20"/>
                <w:szCs w:val="20"/>
              </w:rPr>
              <w:t>Cijena je promjenjiva i automatski se usklađuje s promjenama cijene električne energije.</w:t>
            </w:r>
          </w:p>
        </w:tc>
        <w:tc>
          <w:tcPr>
            <w:tcW w:w="945" w:type="dxa"/>
          </w:tcPr>
          <w:p w14:paraId="7B6B0112" w14:textId="77777777" w:rsidR="00390FCC" w:rsidRPr="00AC4AD6" w:rsidRDefault="00390FCC" w:rsidP="00210FC8">
            <w:pPr>
              <w:jc w:val="center"/>
              <w:rPr>
                <w:rFonts w:cs="Calibri"/>
                <w:szCs w:val="22"/>
              </w:rPr>
            </w:pPr>
            <w:r w:rsidRPr="00AC4AD6">
              <w:rPr>
                <w:rFonts w:cs="Calibri"/>
                <w:szCs w:val="22"/>
              </w:rPr>
              <w:t>kW</w:t>
            </w:r>
          </w:p>
        </w:tc>
        <w:tc>
          <w:tcPr>
            <w:tcW w:w="1417" w:type="dxa"/>
          </w:tcPr>
          <w:p w14:paraId="531502B4" w14:textId="1215102B" w:rsidR="00507F8A" w:rsidRPr="00507F8A" w:rsidRDefault="001C72A2" w:rsidP="00507F8A">
            <w:pPr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81,96</w:t>
            </w:r>
          </w:p>
          <w:p w14:paraId="68159445" w14:textId="77777777" w:rsidR="00390FCC" w:rsidRPr="00AC4AD6" w:rsidRDefault="00390FCC" w:rsidP="00390FCC">
            <w:pPr>
              <w:jc w:val="center"/>
              <w:rPr>
                <w:rFonts w:cs="Calibri"/>
                <w:szCs w:val="22"/>
              </w:rPr>
            </w:pPr>
          </w:p>
        </w:tc>
      </w:tr>
      <w:tr w:rsidR="00390FCC" w:rsidRPr="00AC4AD6" w14:paraId="22A2E9D5" w14:textId="77777777" w:rsidTr="00390FCC">
        <w:trPr>
          <w:trHeight w:val="340"/>
        </w:trPr>
        <w:tc>
          <w:tcPr>
            <w:tcW w:w="654" w:type="dxa"/>
            <w:noWrap/>
          </w:tcPr>
          <w:p w14:paraId="7BE4E0EB" w14:textId="77777777" w:rsidR="00390FCC" w:rsidRPr="00AC4AD6" w:rsidRDefault="00041F35" w:rsidP="00210FC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2</w:t>
            </w:r>
          </w:p>
        </w:tc>
        <w:tc>
          <w:tcPr>
            <w:tcW w:w="5833" w:type="dxa"/>
          </w:tcPr>
          <w:p w14:paraId="169588D1" w14:textId="77777777" w:rsidR="00390FCC" w:rsidRDefault="00390FCC" w:rsidP="00210FC8">
            <w:pPr>
              <w:rPr>
                <w:rFonts w:cs="Calibri"/>
                <w:szCs w:val="22"/>
              </w:rPr>
            </w:pPr>
            <w:r w:rsidRPr="00CC4614">
              <w:rPr>
                <w:rFonts w:cs="Calibri"/>
                <w:b/>
                <w:szCs w:val="22"/>
              </w:rPr>
              <w:t>Zakup prostora na stupu# Vert. ravnina, (</w:t>
            </w:r>
            <w:r>
              <w:rPr>
                <w:rFonts w:cs="Calibri"/>
                <w:b/>
                <w:szCs w:val="22"/>
              </w:rPr>
              <w:t>H+W</w:t>
            </w:r>
            <w:r w:rsidRPr="00CC4614">
              <w:rPr>
                <w:rFonts w:cs="Calibri"/>
                <w:b/>
                <w:szCs w:val="22"/>
              </w:rPr>
              <w:t>)</w:t>
            </w:r>
            <w:r>
              <w:rPr>
                <w:rFonts w:cs="Calibri"/>
                <w:b/>
                <w:szCs w:val="22"/>
              </w:rPr>
              <w:t>*</w:t>
            </w:r>
            <w:r w:rsidRPr="00CC4614">
              <w:rPr>
                <w:rFonts w:cs="Calibri"/>
                <w:b/>
                <w:szCs w:val="22"/>
              </w:rPr>
              <w:t>Fa</w:t>
            </w:r>
          </w:p>
          <w:p w14:paraId="01AE6DB5" w14:textId="77777777" w:rsidR="00390FCC" w:rsidRPr="001270B6" w:rsidRDefault="00110BAD" w:rsidP="00210FC8">
            <w:p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A1</w:t>
            </w:r>
            <w:r w:rsidR="00390FCC" w:rsidRPr="001270B6">
              <w:rPr>
                <w:rFonts w:cs="Calibri"/>
                <w:i/>
                <w:sz w:val="20"/>
                <w:szCs w:val="20"/>
              </w:rPr>
              <w:t xml:space="preserve"> daje u zakup prostor za smještaj antena i antenskih sustava na stupovima i ostalim prostorima (krov, fasada zgrade i sl.).</w:t>
            </w:r>
          </w:p>
          <w:p w14:paraId="1BB35993" w14:textId="77777777" w:rsidR="00390FCC" w:rsidRPr="001270B6" w:rsidRDefault="00390FCC" w:rsidP="00210FC8">
            <w:p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Za</w:t>
            </w:r>
            <w:r w:rsidRPr="001270B6">
              <w:rPr>
                <w:rFonts w:cs="Calibri"/>
                <w:i/>
                <w:sz w:val="20"/>
                <w:szCs w:val="20"/>
              </w:rPr>
              <w:t xml:space="preserve"> koli</w:t>
            </w:r>
            <w:r>
              <w:rPr>
                <w:rFonts w:cs="Calibri"/>
                <w:i/>
                <w:sz w:val="20"/>
                <w:szCs w:val="20"/>
              </w:rPr>
              <w:t>činu u m</w:t>
            </w:r>
            <w:r w:rsidRPr="001270B6">
              <w:rPr>
                <w:rFonts w:cs="Calibri"/>
                <w:i/>
                <w:sz w:val="20"/>
                <w:szCs w:val="20"/>
              </w:rPr>
              <w:t xml:space="preserve"> uzima se zbroj visine i širine antene (u ravnini okomitoj na smjer zračenja antene) umnožen faktorom oblika antene.</w:t>
            </w:r>
          </w:p>
          <w:p w14:paraId="4A80254F" w14:textId="77777777" w:rsidR="00390FCC" w:rsidRPr="001270B6" w:rsidRDefault="00390FCC" w:rsidP="00210FC8">
            <w:pPr>
              <w:rPr>
                <w:rFonts w:cs="Calibri"/>
                <w:i/>
                <w:sz w:val="20"/>
                <w:szCs w:val="20"/>
              </w:rPr>
            </w:pPr>
            <w:r w:rsidRPr="001270B6">
              <w:rPr>
                <w:rFonts w:cs="Calibri"/>
                <w:i/>
                <w:sz w:val="20"/>
                <w:szCs w:val="20"/>
              </w:rPr>
              <w:t>Fa=3; za parabolične antene,</w:t>
            </w:r>
          </w:p>
          <w:p w14:paraId="31242E6D" w14:textId="77777777" w:rsidR="00390FCC" w:rsidRDefault="00390FCC" w:rsidP="00210FC8">
            <w:pPr>
              <w:rPr>
                <w:rFonts w:cs="Calibri"/>
                <w:i/>
                <w:sz w:val="20"/>
                <w:szCs w:val="20"/>
              </w:rPr>
            </w:pPr>
            <w:r w:rsidRPr="001270B6">
              <w:rPr>
                <w:rFonts w:cs="Calibri"/>
                <w:i/>
                <w:sz w:val="20"/>
                <w:szCs w:val="20"/>
              </w:rPr>
              <w:t>Fa=1; za panel i ostale antene.</w:t>
            </w:r>
          </w:p>
          <w:p w14:paraId="5415E68F" w14:textId="77777777" w:rsidR="00390FCC" w:rsidRPr="00AC4AD6" w:rsidRDefault="00390FCC" w:rsidP="00210FC8">
            <w:pPr>
              <w:rPr>
                <w:rFonts w:cs="Calibri"/>
                <w:szCs w:val="22"/>
              </w:rPr>
            </w:pPr>
            <w:r>
              <w:rPr>
                <w:rFonts w:cs="Calibri"/>
                <w:i/>
                <w:sz w:val="20"/>
                <w:szCs w:val="20"/>
              </w:rPr>
              <w:t>Najmanja količina je 1 m po anteni ili komadu druge opreme.</w:t>
            </w:r>
          </w:p>
        </w:tc>
        <w:tc>
          <w:tcPr>
            <w:tcW w:w="945" w:type="dxa"/>
          </w:tcPr>
          <w:p w14:paraId="673AE96B" w14:textId="77777777" w:rsidR="00390FCC" w:rsidRPr="00AC4AD6" w:rsidRDefault="00390FCC" w:rsidP="00210FC8">
            <w:pPr>
              <w:jc w:val="center"/>
              <w:rPr>
                <w:rFonts w:cs="Calibri"/>
                <w:szCs w:val="22"/>
              </w:rPr>
            </w:pPr>
            <w:r w:rsidRPr="00AC4AD6">
              <w:rPr>
                <w:rFonts w:cs="Calibri"/>
                <w:szCs w:val="22"/>
              </w:rPr>
              <w:t>m1</w:t>
            </w:r>
          </w:p>
        </w:tc>
        <w:tc>
          <w:tcPr>
            <w:tcW w:w="1417" w:type="dxa"/>
          </w:tcPr>
          <w:p w14:paraId="5A19962C" w14:textId="76A05FFA" w:rsidR="00390FCC" w:rsidRPr="00AC4AD6" w:rsidRDefault="004B6155" w:rsidP="00390FCC">
            <w:pPr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37,16</w:t>
            </w:r>
          </w:p>
        </w:tc>
      </w:tr>
      <w:tr w:rsidR="00390FCC" w:rsidRPr="00AC4AD6" w14:paraId="38E9ECDE" w14:textId="77777777" w:rsidTr="00390FCC">
        <w:trPr>
          <w:trHeight w:val="340"/>
        </w:trPr>
        <w:tc>
          <w:tcPr>
            <w:tcW w:w="654" w:type="dxa"/>
            <w:noWrap/>
          </w:tcPr>
          <w:p w14:paraId="5EF14DAB" w14:textId="77777777" w:rsidR="00390FCC" w:rsidRPr="00AC4AD6" w:rsidRDefault="00041F35" w:rsidP="00210FC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3</w:t>
            </w:r>
          </w:p>
        </w:tc>
        <w:tc>
          <w:tcPr>
            <w:tcW w:w="5833" w:type="dxa"/>
          </w:tcPr>
          <w:p w14:paraId="6A3D8949" w14:textId="77777777" w:rsidR="00390FCC" w:rsidRDefault="00390FCC" w:rsidP="00210FC8">
            <w:pPr>
              <w:rPr>
                <w:rFonts w:cs="Calibri"/>
                <w:i/>
                <w:sz w:val="20"/>
                <w:szCs w:val="20"/>
              </w:rPr>
            </w:pPr>
            <w:r w:rsidRPr="00CC4614">
              <w:rPr>
                <w:rFonts w:cs="Calibri"/>
                <w:b/>
                <w:szCs w:val="22"/>
              </w:rPr>
              <w:t>Zakup unutrašnjeg</w:t>
            </w:r>
            <w:r w:rsidR="00041F35" w:rsidRPr="00CC4614">
              <w:rPr>
                <w:rFonts w:cs="Calibri"/>
                <w:b/>
                <w:szCs w:val="22"/>
              </w:rPr>
              <w:t xml:space="preserve"> prostora </w:t>
            </w:r>
            <w:r w:rsidRPr="00CC4614">
              <w:rPr>
                <w:rFonts w:cs="Calibri"/>
                <w:b/>
                <w:szCs w:val="22"/>
              </w:rPr>
              <w:t># Obujam</w:t>
            </w:r>
          </w:p>
          <w:p w14:paraId="55C8B280" w14:textId="77777777" w:rsidR="00390FCC" w:rsidRDefault="00110BAD" w:rsidP="00210FC8">
            <w:p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A1</w:t>
            </w:r>
            <w:r w:rsidR="00390FCC" w:rsidRPr="00F803F5">
              <w:rPr>
                <w:rFonts w:cs="Calibri"/>
                <w:i/>
                <w:sz w:val="20"/>
                <w:szCs w:val="20"/>
              </w:rPr>
              <w:t xml:space="preserve"> daje u zakup unutrašnji prostor u zgradama i kontejnerima za smještaj opreme Zakupnika.</w:t>
            </w:r>
            <w:r w:rsidR="00390FCC">
              <w:rPr>
                <w:rFonts w:cs="Calibri"/>
                <w:i/>
                <w:sz w:val="20"/>
                <w:szCs w:val="20"/>
              </w:rPr>
              <w:t xml:space="preserve"> O</w:t>
            </w:r>
            <w:r w:rsidR="00390FCC" w:rsidRPr="00F803F5">
              <w:rPr>
                <w:rFonts w:cs="Calibri"/>
                <w:i/>
                <w:sz w:val="20"/>
                <w:szCs w:val="20"/>
              </w:rPr>
              <w:t>bračun</w:t>
            </w:r>
            <w:r w:rsidR="00390FCC">
              <w:rPr>
                <w:rFonts w:cs="Calibri"/>
                <w:i/>
                <w:sz w:val="20"/>
                <w:szCs w:val="20"/>
              </w:rPr>
              <w:t xml:space="preserve">ava se </w:t>
            </w:r>
            <w:r w:rsidR="00390FCC" w:rsidRPr="00F803F5">
              <w:rPr>
                <w:rFonts w:cs="Calibri"/>
                <w:i/>
                <w:sz w:val="20"/>
                <w:szCs w:val="20"/>
              </w:rPr>
              <w:t>stv</w:t>
            </w:r>
            <w:r w:rsidR="00390FCC">
              <w:rPr>
                <w:rFonts w:cs="Calibri"/>
                <w:i/>
                <w:sz w:val="20"/>
                <w:szCs w:val="20"/>
              </w:rPr>
              <w:t xml:space="preserve">arni obujam </w:t>
            </w:r>
            <w:r w:rsidR="00390FCC" w:rsidRPr="00F803F5">
              <w:rPr>
                <w:rFonts w:cs="Calibri"/>
                <w:i/>
                <w:sz w:val="20"/>
                <w:szCs w:val="20"/>
              </w:rPr>
              <w:t>svakog pojedinog komada opreme, računajući njegove</w:t>
            </w:r>
            <w:r w:rsidR="00390FCC">
              <w:rPr>
                <w:rFonts w:cs="Calibri"/>
                <w:i/>
                <w:sz w:val="20"/>
                <w:szCs w:val="20"/>
              </w:rPr>
              <w:t xml:space="preserve"> gabaritne dimenzije, osim </w:t>
            </w:r>
            <w:r w:rsidR="00390FCC" w:rsidRPr="00F803F5">
              <w:rPr>
                <w:rFonts w:cs="Calibri"/>
                <w:i/>
                <w:sz w:val="20"/>
                <w:szCs w:val="20"/>
              </w:rPr>
              <w:t>elektro razvodn</w:t>
            </w:r>
            <w:r w:rsidR="00390FCC">
              <w:rPr>
                <w:rFonts w:cs="Calibri"/>
                <w:i/>
                <w:sz w:val="20"/>
                <w:szCs w:val="20"/>
              </w:rPr>
              <w:t>ih</w:t>
            </w:r>
            <w:r w:rsidR="00390FCC" w:rsidRPr="00F803F5">
              <w:rPr>
                <w:rFonts w:cs="Calibri"/>
                <w:i/>
                <w:sz w:val="20"/>
                <w:szCs w:val="20"/>
              </w:rPr>
              <w:t xml:space="preserve"> ormar</w:t>
            </w:r>
            <w:r w:rsidR="00390FCC">
              <w:rPr>
                <w:rFonts w:cs="Calibri"/>
                <w:i/>
                <w:sz w:val="20"/>
                <w:szCs w:val="20"/>
              </w:rPr>
              <w:t xml:space="preserve">a, </w:t>
            </w:r>
            <w:r w:rsidR="00390FCC" w:rsidRPr="00F803F5">
              <w:rPr>
                <w:rFonts w:cs="Calibri"/>
                <w:i/>
                <w:sz w:val="20"/>
                <w:szCs w:val="20"/>
              </w:rPr>
              <w:t>oprem</w:t>
            </w:r>
            <w:r w:rsidR="00390FCC">
              <w:rPr>
                <w:rFonts w:cs="Calibri"/>
                <w:i/>
                <w:sz w:val="20"/>
                <w:szCs w:val="20"/>
              </w:rPr>
              <w:t>e</w:t>
            </w:r>
            <w:r w:rsidR="00390FCC" w:rsidRPr="00F803F5">
              <w:rPr>
                <w:rFonts w:cs="Calibri"/>
                <w:i/>
                <w:sz w:val="20"/>
                <w:szCs w:val="20"/>
              </w:rPr>
              <w:t xml:space="preserve"> za klimatizaciju</w:t>
            </w:r>
            <w:r w:rsidR="00390FCC">
              <w:rPr>
                <w:rFonts w:cs="Calibri"/>
                <w:i/>
                <w:sz w:val="20"/>
                <w:szCs w:val="20"/>
              </w:rPr>
              <w:t xml:space="preserve"> i prostora za vođenje kabela. </w:t>
            </w:r>
            <w:r w:rsidR="00390FCC" w:rsidRPr="00F803F5">
              <w:rPr>
                <w:rFonts w:cs="Calibri"/>
                <w:i/>
                <w:sz w:val="20"/>
                <w:szCs w:val="20"/>
              </w:rPr>
              <w:t>Prostor nije klimatiziran.</w:t>
            </w:r>
          </w:p>
          <w:p w14:paraId="0F74B171" w14:textId="77777777" w:rsidR="00390FCC" w:rsidRPr="00CC4614" w:rsidRDefault="00390FCC" w:rsidP="00210FC8">
            <w:pPr>
              <w:rPr>
                <w:rFonts w:cs="Calibri"/>
                <w:b/>
                <w:szCs w:val="22"/>
              </w:rPr>
            </w:pPr>
            <w:r w:rsidRPr="0089000E">
              <w:rPr>
                <w:rFonts w:cs="Calibri"/>
                <w:i/>
                <w:sz w:val="20"/>
                <w:szCs w:val="20"/>
              </w:rPr>
              <w:t>U cijenu zakupa nije uključena potrošnja el. energije.</w:t>
            </w:r>
          </w:p>
        </w:tc>
        <w:tc>
          <w:tcPr>
            <w:tcW w:w="945" w:type="dxa"/>
          </w:tcPr>
          <w:p w14:paraId="0AC806D5" w14:textId="77777777" w:rsidR="00390FCC" w:rsidRPr="00AC4AD6" w:rsidRDefault="00390FCC" w:rsidP="00210FC8">
            <w:pPr>
              <w:jc w:val="center"/>
              <w:rPr>
                <w:rFonts w:cs="Calibri"/>
                <w:szCs w:val="22"/>
              </w:rPr>
            </w:pPr>
            <w:r w:rsidRPr="00AC4AD6">
              <w:rPr>
                <w:rFonts w:cs="Calibri"/>
                <w:szCs w:val="22"/>
              </w:rPr>
              <w:t>m3</w:t>
            </w:r>
          </w:p>
        </w:tc>
        <w:tc>
          <w:tcPr>
            <w:tcW w:w="1417" w:type="dxa"/>
          </w:tcPr>
          <w:p w14:paraId="36BAD77F" w14:textId="018EF289" w:rsidR="00390FCC" w:rsidRPr="00AC4AD6" w:rsidRDefault="00091C63" w:rsidP="00390FCC">
            <w:pPr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106,18</w:t>
            </w:r>
          </w:p>
        </w:tc>
      </w:tr>
      <w:tr w:rsidR="00390FCC" w:rsidRPr="00AC4AD6" w14:paraId="2FA4C879" w14:textId="77777777" w:rsidTr="00390FCC">
        <w:trPr>
          <w:trHeight w:val="340"/>
        </w:trPr>
        <w:tc>
          <w:tcPr>
            <w:tcW w:w="654" w:type="dxa"/>
            <w:noWrap/>
          </w:tcPr>
          <w:p w14:paraId="0130D04D" w14:textId="77777777" w:rsidR="00390FCC" w:rsidRPr="00AC4AD6" w:rsidRDefault="00041F35" w:rsidP="00210FC8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4</w:t>
            </w:r>
          </w:p>
        </w:tc>
        <w:tc>
          <w:tcPr>
            <w:tcW w:w="5833" w:type="dxa"/>
          </w:tcPr>
          <w:p w14:paraId="48B3D0AC" w14:textId="77777777" w:rsidR="00390FCC" w:rsidRPr="00F803F5" w:rsidRDefault="00390FCC" w:rsidP="00210FC8">
            <w:pPr>
              <w:rPr>
                <w:rFonts w:cs="Calibri"/>
                <w:sz w:val="20"/>
                <w:szCs w:val="20"/>
              </w:rPr>
            </w:pPr>
            <w:r w:rsidRPr="00CC4614">
              <w:rPr>
                <w:rFonts w:cs="Calibri"/>
                <w:b/>
                <w:szCs w:val="22"/>
              </w:rPr>
              <w:t>Zakup vanjskog</w:t>
            </w:r>
            <w:r w:rsidR="00041F35" w:rsidRPr="00CC4614">
              <w:rPr>
                <w:rFonts w:cs="Calibri"/>
                <w:b/>
                <w:szCs w:val="22"/>
              </w:rPr>
              <w:t xml:space="preserve"> prostora </w:t>
            </w:r>
            <w:r w:rsidRPr="00CC4614">
              <w:rPr>
                <w:rFonts w:cs="Calibri"/>
                <w:b/>
                <w:szCs w:val="22"/>
              </w:rPr>
              <w:t># Gabaritna tlocrtna površina</w:t>
            </w:r>
          </w:p>
          <w:p w14:paraId="355920E4" w14:textId="77777777" w:rsidR="00390FCC" w:rsidRDefault="00110BAD" w:rsidP="00210FC8">
            <w:pPr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A1</w:t>
            </w:r>
            <w:r w:rsidR="00390FCC" w:rsidRPr="00F803F5">
              <w:rPr>
                <w:rFonts w:cs="Calibri"/>
                <w:i/>
                <w:sz w:val="20"/>
                <w:szCs w:val="20"/>
              </w:rPr>
              <w:t xml:space="preserve"> daje u zakup vanjski prostor za smještaj opreme Zakupnika</w:t>
            </w:r>
            <w:r w:rsidR="00390FCC">
              <w:rPr>
                <w:rFonts w:cs="Calibri"/>
                <w:i/>
                <w:sz w:val="20"/>
                <w:szCs w:val="20"/>
              </w:rPr>
              <w:t>. O</w:t>
            </w:r>
            <w:r w:rsidR="00390FCC" w:rsidRPr="005C6B08">
              <w:rPr>
                <w:rFonts w:cs="Calibri"/>
                <w:i/>
                <w:sz w:val="20"/>
                <w:szCs w:val="20"/>
              </w:rPr>
              <w:t>bračun</w:t>
            </w:r>
            <w:r w:rsidR="00390FCC">
              <w:rPr>
                <w:rFonts w:cs="Calibri"/>
                <w:i/>
                <w:sz w:val="20"/>
                <w:szCs w:val="20"/>
              </w:rPr>
              <w:t>ava</w:t>
            </w:r>
            <w:r w:rsidR="00390FCC" w:rsidRPr="005C6B08">
              <w:rPr>
                <w:rFonts w:cs="Calibri"/>
                <w:i/>
                <w:sz w:val="20"/>
                <w:szCs w:val="20"/>
              </w:rPr>
              <w:t xml:space="preserve"> </w:t>
            </w:r>
            <w:r w:rsidR="00390FCC">
              <w:rPr>
                <w:rFonts w:cs="Calibri"/>
                <w:i/>
                <w:sz w:val="20"/>
                <w:szCs w:val="20"/>
              </w:rPr>
              <w:t xml:space="preserve">se </w:t>
            </w:r>
            <w:r w:rsidR="00390FCC" w:rsidRPr="005C6B08">
              <w:rPr>
                <w:rFonts w:cs="Calibri"/>
                <w:i/>
                <w:sz w:val="20"/>
                <w:szCs w:val="20"/>
              </w:rPr>
              <w:t>stvarna tlocrtna gabaritna površina pravilnih jednog ili više pravokutnih oblika na kojoj je smještena oprema Zakupnika</w:t>
            </w:r>
            <w:r w:rsidR="00390FCC">
              <w:rPr>
                <w:rFonts w:cs="Calibri"/>
                <w:i/>
                <w:sz w:val="20"/>
                <w:szCs w:val="20"/>
              </w:rPr>
              <w:t>. Ne obračunava se potreban radni prostor oko opreme niti prostor za vođenje kabela.</w:t>
            </w:r>
          </w:p>
          <w:p w14:paraId="374F97EE" w14:textId="77777777" w:rsidR="00390FCC" w:rsidRPr="00F803F5" w:rsidRDefault="00390FCC" w:rsidP="00210FC8">
            <w:pPr>
              <w:rPr>
                <w:rFonts w:cs="Calibri"/>
                <w:i/>
                <w:sz w:val="20"/>
                <w:szCs w:val="20"/>
              </w:rPr>
            </w:pPr>
            <w:r w:rsidRPr="0089000E">
              <w:rPr>
                <w:rFonts w:cs="Calibri"/>
                <w:i/>
                <w:sz w:val="20"/>
                <w:szCs w:val="20"/>
              </w:rPr>
              <w:t>U cijenu zakupa nije uključena potrošnja el. energije.</w:t>
            </w:r>
          </w:p>
        </w:tc>
        <w:tc>
          <w:tcPr>
            <w:tcW w:w="945" w:type="dxa"/>
          </w:tcPr>
          <w:p w14:paraId="03845BC8" w14:textId="77777777" w:rsidR="00390FCC" w:rsidRPr="00AC4AD6" w:rsidRDefault="00390FCC" w:rsidP="00210FC8">
            <w:pPr>
              <w:jc w:val="center"/>
              <w:rPr>
                <w:rFonts w:cs="Calibri"/>
                <w:szCs w:val="22"/>
              </w:rPr>
            </w:pPr>
            <w:r w:rsidRPr="00AC4AD6">
              <w:rPr>
                <w:rFonts w:cs="Calibri"/>
                <w:szCs w:val="22"/>
              </w:rPr>
              <w:t>m2</w:t>
            </w:r>
          </w:p>
        </w:tc>
        <w:tc>
          <w:tcPr>
            <w:tcW w:w="1417" w:type="dxa"/>
          </w:tcPr>
          <w:p w14:paraId="07C1C4BA" w14:textId="63FB16DB" w:rsidR="00390FCC" w:rsidRPr="00AC4AD6" w:rsidRDefault="00091C63" w:rsidP="00390FCC">
            <w:pPr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26,54</w:t>
            </w:r>
          </w:p>
        </w:tc>
      </w:tr>
    </w:tbl>
    <w:p w14:paraId="5FAB8693" w14:textId="77777777" w:rsidR="00E62E92" w:rsidRDefault="00E62E92" w:rsidP="00E62E92">
      <w:pPr>
        <w:pStyle w:val="Caption"/>
      </w:pPr>
      <w:r>
        <w:t xml:space="preserve">Tabela </w:t>
      </w:r>
      <w:fldSimple w:instr=" STYLEREF 1 \s ">
        <w:r w:rsidR="00E05D73">
          <w:rPr>
            <w:noProof/>
          </w:rPr>
          <w:t>1</w:t>
        </w:r>
      </w:fldSimple>
      <w:r w:rsidR="000B677F">
        <w:t>.</w:t>
      </w:r>
      <w:fldSimple w:instr=" SEQ Tabela \* ARABIC \s 1 ">
        <w:r w:rsidR="00E05D73">
          <w:rPr>
            <w:noProof/>
          </w:rPr>
          <w:t>1</w:t>
        </w:r>
      </w:fldSimple>
      <w:r>
        <w:t xml:space="preserve"> Zakup infrastrukture (cijene su bez PDV-a)</w:t>
      </w:r>
    </w:p>
    <w:p w14:paraId="52568D38" w14:textId="77777777" w:rsidR="00E62E92" w:rsidRDefault="00E62E92" w:rsidP="00E62E92"/>
    <w:p w14:paraId="5D7472B0" w14:textId="77777777" w:rsidR="00E62E92" w:rsidRDefault="00E62E92" w:rsidP="00E62E92">
      <w:pPr>
        <w:ind w:firstLine="709"/>
      </w:pPr>
      <w:r>
        <w:t xml:space="preserve">Svaki uređaj ili komad opreme </w:t>
      </w:r>
      <w:r w:rsidRPr="001562BB">
        <w:t xml:space="preserve">je određen </w:t>
      </w:r>
      <w:r>
        <w:t xml:space="preserve">s jednim ili više </w:t>
      </w:r>
      <w:r w:rsidR="00041F35">
        <w:t>elemenata zakupa infrastrukture</w:t>
      </w:r>
      <w:r>
        <w:t>.</w:t>
      </w:r>
    </w:p>
    <w:p w14:paraId="57609F81" w14:textId="77777777" w:rsidR="00E62E92" w:rsidRDefault="00E62E92" w:rsidP="00E62E92">
      <w:pPr>
        <w:ind w:firstLine="709"/>
      </w:pPr>
    </w:p>
    <w:p w14:paraId="30D40256" w14:textId="77777777" w:rsidR="00E62E92" w:rsidRDefault="00E62E92" w:rsidP="00E62E92">
      <w:pPr>
        <w:ind w:firstLine="709"/>
      </w:pPr>
      <w:r w:rsidRPr="003C1BE4">
        <w:t>Svi komercijalni uvjeti primjenjuju se od datuma ugradnje opreme.</w:t>
      </w:r>
    </w:p>
    <w:p w14:paraId="506A7B5A" w14:textId="77777777" w:rsidR="00A75E5A" w:rsidRDefault="00A75E5A" w:rsidP="00E62E92">
      <w:pPr>
        <w:ind w:firstLine="709"/>
      </w:pPr>
    </w:p>
    <w:p w14:paraId="200B0AEE" w14:textId="77777777" w:rsidR="00A75E5A" w:rsidRDefault="00A75E5A" w:rsidP="00E62E92">
      <w:pPr>
        <w:ind w:firstLine="709"/>
      </w:pPr>
    </w:p>
    <w:p w14:paraId="62AF2121" w14:textId="77777777" w:rsidR="00A75E5A" w:rsidRDefault="00A75E5A" w:rsidP="00E62E92">
      <w:pPr>
        <w:ind w:firstLine="709"/>
      </w:pPr>
    </w:p>
    <w:p w14:paraId="7396D291" w14:textId="77777777" w:rsidR="00A75E5A" w:rsidRDefault="00A75E5A" w:rsidP="00E62E92">
      <w:pPr>
        <w:ind w:firstLine="709"/>
      </w:pPr>
    </w:p>
    <w:p w14:paraId="7C18EDDF" w14:textId="77777777" w:rsidR="00A75E5A" w:rsidRDefault="00A75E5A" w:rsidP="00E62E92">
      <w:pPr>
        <w:ind w:firstLine="709"/>
      </w:pPr>
    </w:p>
    <w:p w14:paraId="636A851D" w14:textId="77777777" w:rsidR="00A75E5A" w:rsidRDefault="00A75E5A" w:rsidP="00E62E92">
      <w:pPr>
        <w:ind w:firstLine="709"/>
      </w:pPr>
    </w:p>
    <w:p w14:paraId="0881822E" w14:textId="77777777" w:rsidR="00A75E5A" w:rsidRDefault="00A75E5A" w:rsidP="00E62E92">
      <w:pPr>
        <w:ind w:firstLine="709"/>
      </w:pPr>
    </w:p>
    <w:p w14:paraId="6B6BCD9D" w14:textId="77777777" w:rsidR="00A75E5A" w:rsidRDefault="00A75E5A" w:rsidP="00E62E92">
      <w:pPr>
        <w:ind w:firstLine="709"/>
      </w:pPr>
    </w:p>
    <w:p w14:paraId="21BBF500" w14:textId="77777777" w:rsidR="00A75E5A" w:rsidRDefault="00A75E5A" w:rsidP="00E62E92">
      <w:pPr>
        <w:ind w:firstLine="709"/>
      </w:pPr>
    </w:p>
    <w:p w14:paraId="42B2C94E" w14:textId="77777777" w:rsidR="00A75E5A" w:rsidRDefault="00A75E5A" w:rsidP="00E62E92">
      <w:pPr>
        <w:ind w:firstLine="709"/>
      </w:pPr>
    </w:p>
    <w:p w14:paraId="5FE19A0A" w14:textId="77777777" w:rsidR="00A75E5A" w:rsidRDefault="00A75E5A" w:rsidP="00E62E92">
      <w:pPr>
        <w:ind w:firstLine="709"/>
      </w:pPr>
    </w:p>
    <w:sectPr w:rsidR="00A75E5A" w:rsidSect="00046437">
      <w:headerReference w:type="even" r:id="rId7"/>
      <w:footerReference w:type="even" r:id="rId8"/>
      <w:footerReference w:type="default" r:id="rId9"/>
      <w:footerReference w:type="first" r:id="rId10"/>
      <w:pgSz w:w="11909" w:h="16834" w:code="9"/>
      <w:pgMar w:top="709" w:right="710" w:bottom="964" w:left="1412" w:header="426" w:footer="36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E3086" w14:textId="77777777" w:rsidR="009A0D2A" w:rsidRDefault="009A0D2A">
      <w:r>
        <w:separator/>
      </w:r>
    </w:p>
  </w:endnote>
  <w:endnote w:type="continuationSeparator" w:id="0">
    <w:p w14:paraId="677F6CC5" w14:textId="77777777" w:rsidR="009A0D2A" w:rsidRDefault="009A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11419" w14:textId="77777777" w:rsidR="00A75E5A" w:rsidRDefault="00A75E5A" w:rsidP="003B54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CC266" w14:textId="77777777" w:rsidR="00A75E5A" w:rsidRDefault="00A75E5A" w:rsidP="00436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D0E1" w14:textId="77777777" w:rsidR="00A75E5A" w:rsidRPr="00A25ACA" w:rsidRDefault="00A75E5A" w:rsidP="00A25ACA">
    <w:pPr>
      <w:pStyle w:val="Footer"/>
      <w:tabs>
        <w:tab w:val="clear" w:pos="4536"/>
        <w:tab w:val="clear" w:pos="9072"/>
        <w:tab w:val="center" w:pos="5103"/>
        <w:tab w:val="right" w:pos="9781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AE9F" w14:textId="77777777" w:rsidR="00A75E5A" w:rsidRPr="00A25ACA" w:rsidRDefault="00A75E5A" w:rsidP="00A25ACA">
    <w:pPr>
      <w:pStyle w:val="Footer"/>
      <w:tabs>
        <w:tab w:val="clear" w:pos="4536"/>
        <w:tab w:val="clear" w:pos="9072"/>
        <w:tab w:val="center" w:pos="5103"/>
        <w:tab w:val="right" w:pos="97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172A5" w14:textId="77777777" w:rsidR="009A0D2A" w:rsidRDefault="009A0D2A">
      <w:r>
        <w:separator/>
      </w:r>
    </w:p>
  </w:footnote>
  <w:footnote w:type="continuationSeparator" w:id="0">
    <w:p w14:paraId="7F62C91C" w14:textId="77777777" w:rsidR="009A0D2A" w:rsidRDefault="009A0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B46E4" w14:textId="77777777" w:rsidR="00A75E5A" w:rsidRDefault="00A75E5A" w:rsidP="0017022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FB7F08" w14:textId="77777777" w:rsidR="00A75E5A" w:rsidRDefault="00A75E5A" w:rsidP="00632C14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9D4"/>
    <w:multiLevelType w:val="hybridMultilevel"/>
    <w:tmpl w:val="D1A06D84"/>
    <w:lvl w:ilvl="0" w:tplc="0409000B">
      <w:start w:val="2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D3B13"/>
    <w:multiLevelType w:val="hybridMultilevel"/>
    <w:tmpl w:val="08EED572"/>
    <w:lvl w:ilvl="0" w:tplc="06A40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E5E1F"/>
    <w:multiLevelType w:val="hybridMultilevel"/>
    <w:tmpl w:val="77C8B75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A9601A"/>
    <w:multiLevelType w:val="multilevel"/>
    <w:tmpl w:val="4F829B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20413C"/>
    <w:multiLevelType w:val="hybridMultilevel"/>
    <w:tmpl w:val="A216BD9E"/>
    <w:lvl w:ilvl="0" w:tplc="06A402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0485CA7"/>
    <w:multiLevelType w:val="hybridMultilevel"/>
    <w:tmpl w:val="9134EB00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D5158D"/>
    <w:multiLevelType w:val="hybridMultilevel"/>
    <w:tmpl w:val="FD100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858B6"/>
    <w:multiLevelType w:val="hybridMultilevel"/>
    <w:tmpl w:val="6820F094"/>
    <w:lvl w:ilvl="0" w:tplc="06CE84BA">
      <w:start w:val="25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8308F"/>
    <w:multiLevelType w:val="hybridMultilevel"/>
    <w:tmpl w:val="6FAEDE68"/>
    <w:lvl w:ilvl="0" w:tplc="2B20B4E0">
      <w:start w:val="5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C5C3A16"/>
    <w:multiLevelType w:val="hybridMultilevel"/>
    <w:tmpl w:val="8B34B4A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2E7EF2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A79E3"/>
    <w:multiLevelType w:val="hybridMultilevel"/>
    <w:tmpl w:val="7AC0A2EE"/>
    <w:lvl w:ilvl="0" w:tplc="06A40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D1E8D"/>
    <w:multiLevelType w:val="hybridMultilevel"/>
    <w:tmpl w:val="8EC6A45E"/>
    <w:lvl w:ilvl="0" w:tplc="06A402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9B759E1"/>
    <w:multiLevelType w:val="multilevel"/>
    <w:tmpl w:val="A23AF4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1F7D0E"/>
    <w:multiLevelType w:val="hybridMultilevel"/>
    <w:tmpl w:val="CF8CA586"/>
    <w:lvl w:ilvl="0" w:tplc="06A402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E2A1351"/>
    <w:multiLevelType w:val="hybridMultilevel"/>
    <w:tmpl w:val="C7824AB0"/>
    <w:lvl w:ilvl="0" w:tplc="041A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7179109B"/>
    <w:multiLevelType w:val="hybridMultilevel"/>
    <w:tmpl w:val="383E0A26"/>
    <w:lvl w:ilvl="0" w:tplc="06A40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EE18FB"/>
    <w:multiLevelType w:val="multilevel"/>
    <w:tmpl w:val="D0ECA9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9DF24E6"/>
    <w:multiLevelType w:val="multilevel"/>
    <w:tmpl w:val="762E1C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FB46DB7"/>
    <w:multiLevelType w:val="hybridMultilevel"/>
    <w:tmpl w:val="E5940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14"/>
  </w:num>
  <w:num w:numId="8">
    <w:abstractNumId w:val="9"/>
  </w:num>
  <w:num w:numId="9">
    <w:abstractNumId w:val="5"/>
  </w:num>
  <w:num w:numId="10">
    <w:abstractNumId w:val="16"/>
  </w:num>
  <w:num w:numId="11">
    <w:abstractNumId w:val="12"/>
  </w:num>
  <w:num w:numId="12">
    <w:abstractNumId w:val="17"/>
  </w:num>
  <w:num w:numId="13">
    <w:abstractNumId w:val="3"/>
  </w:num>
  <w:num w:numId="14">
    <w:abstractNumId w:val="1"/>
  </w:num>
  <w:num w:numId="15">
    <w:abstractNumId w:val="15"/>
  </w:num>
  <w:num w:numId="16">
    <w:abstractNumId w:val="11"/>
  </w:num>
  <w:num w:numId="17">
    <w:abstractNumId w:val="4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963"/>
    <w:rsid w:val="00000EF6"/>
    <w:rsid w:val="00014527"/>
    <w:rsid w:val="0001528A"/>
    <w:rsid w:val="000172A1"/>
    <w:rsid w:val="00017727"/>
    <w:rsid w:val="00027ADB"/>
    <w:rsid w:val="00030F9D"/>
    <w:rsid w:val="0003405A"/>
    <w:rsid w:val="00041F35"/>
    <w:rsid w:val="00046437"/>
    <w:rsid w:val="00051EF1"/>
    <w:rsid w:val="00054B61"/>
    <w:rsid w:val="0007593B"/>
    <w:rsid w:val="00076657"/>
    <w:rsid w:val="00080AB3"/>
    <w:rsid w:val="0008124C"/>
    <w:rsid w:val="00082182"/>
    <w:rsid w:val="00083D9A"/>
    <w:rsid w:val="00091C63"/>
    <w:rsid w:val="000B314A"/>
    <w:rsid w:val="000B677F"/>
    <w:rsid w:val="000C1F69"/>
    <w:rsid w:val="000C34F2"/>
    <w:rsid w:val="000D3977"/>
    <w:rsid w:val="000D4C09"/>
    <w:rsid w:val="000D66AD"/>
    <w:rsid w:val="000E7665"/>
    <w:rsid w:val="000F1661"/>
    <w:rsid w:val="00101AC3"/>
    <w:rsid w:val="00102F07"/>
    <w:rsid w:val="00103C3C"/>
    <w:rsid w:val="00107669"/>
    <w:rsid w:val="00110BAD"/>
    <w:rsid w:val="00133261"/>
    <w:rsid w:val="001336AB"/>
    <w:rsid w:val="00140C4E"/>
    <w:rsid w:val="001545A6"/>
    <w:rsid w:val="001562BB"/>
    <w:rsid w:val="00157B6D"/>
    <w:rsid w:val="00161AA2"/>
    <w:rsid w:val="00167137"/>
    <w:rsid w:val="0017022D"/>
    <w:rsid w:val="00184C18"/>
    <w:rsid w:val="001C1400"/>
    <w:rsid w:val="001C3BBB"/>
    <w:rsid w:val="001C441B"/>
    <w:rsid w:val="001C72A2"/>
    <w:rsid w:val="001D0732"/>
    <w:rsid w:val="001D1D73"/>
    <w:rsid w:val="001D3C63"/>
    <w:rsid w:val="001D6214"/>
    <w:rsid w:val="001E7AFB"/>
    <w:rsid w:val="001F01D3"/>
    <w:rsid w:val="001F5300"/>
    <w:rsid w:val="001F5E43"/>
    <w:rsid w:val="001F7A85"/>
    <w:rsid w:val="00203C9D"/>
    <w:rsid w:val="002102B6"/>
    <w:rsid w:val="00210FC8"/>
    <w:rsid w:val="002234ED"/>
    <w:rsid w:val="0022537C"/>
    <w:rsid w:val="00233B86"/>
    <w:rsid w:val="00235E6E"/>
    <w:rsid w:val="00240E27"/>
    <w:rsid w:val="00250221"/>
    <w:rsid w:val="00261642"/>
    <w:rsid w:val="00272E0F"/>
    <w:rsid w:val="002756C2"/>
    <w:rsid w:val="00283463"/>
    <w:rsid w:val="002875A1"/>
    <w:rsid w:val="00290B66"/>
    <w:rsid w:val="00294DB9"/>
    <w:rsid w:val="002A2416"/>
    <w:rsid w:val="002A528D"/>
    <w:rsid w:val="002A75BA"/>
    <w:rsid w:val="002B080E"/>
    <w:rsid w:val="002B4A43"/>
    <w:rsid w:val="002D33B1"/>
    <w:rsid w:val="002D7026"/>
    <w:rsid w:val="002E2AEF"/>
    <w:rsid w:val="002E2BD3"/>
    <w:rsid w:val="002F5A11"/>
    <w:rsid w:val="002F7E6F"/>
    <w:rsid w:val="00305927"/>
    <w:rsid w:val="00313035"/>
    <w:rsid w:val="003311F2"/>
    <w:rsid w:val="003316EE"/>
    <w:rsid w:val="003317D3"/>
    <w:rsid w:val="00342614"/>
    <w:rsid w:val="0035039D"/>
    <w:rsid w:val="003508F3"/>
    <w:rsid w:val="00350A83"/>
    <w:rsid w:val="00350AD4"/>
    <w:rsid w:val="0035179F"/>
    <w:rsid w:val="00360CCE"/>
    <w:rsid w:val="0036641D"/>
    <w:rsid w:val="00366A1C"/>
    <w:rsid w:val="00376F1A"/>
    <w:rsid w:val="00390FCC"/>
    <w:rsid w:val="0039281A"/>
    <w:rsid w:val="00397C6C"/>
    <w:rsid w:val="003A1BB5"/>
    <w:rsid w:val="003A7B11"/>
    <w:rsid w:val="003B0775"/>
    <w:rsid w:val="003B2AA7"/>
    <w:rsid w:val="003B54BA"/>
    <w:rsid w:val="003B7526"/>
    <w:rsid w:val="003C7650"/>
    <w:rsid w:val="003F4DEA"/>
    <w:rsid w:val="003F6960"/>
    <w:rsid w:val="00411DE6"/>
    <w:rsid w:val="00414F5C"/>
    <w:rsid w:val="00417A45"/>
    <w:rsid w:val="00423E89"/>
    <w:rsid w:val="0042477E"/>
    <w:rsid w:val="00426C22"/>
    <w:rsid w:val="0042792F"/>
    <w:rsid w:val="0043669A"/>
    <w:rsid w:val="00440EB4"/>
    <w:rsid w:val="004472E4"/>
    <w:rsid w:val="00452EEE"/>
    <w:rsid w:val="004647EF"/>
    <w:rsid w:val="00476DA1"/>
    <w:rsid w:val="00493D41"/>
    <w:rsid w:val="00495191"/>
    <w:rsid w:val="00495ADC"/>
    <w:rsid w:val="004A10C4"/>
    <w:rsid w:val="004A1458"/>
    <w:rsid w:val="004A6531"/>
    <w:rsid w:val="004B13B2"/>
    <w:rsid w:val="004B4D66"/>
    <w:rsid w:val="004B6155"/>
    <w:rsid w:val="004B6EBB"/>
    <w:rsid w:val="004F1ACA"/>
    <w:rsid w:val="004F289E"/>
    <w:rsid w:val="00505151"/>
    <w:rsid w:val="00507F8A"/>
    <w:rsid w:val="00525C37"/>
    <w:rsid w:val="0052600A"/>
    <w:rsid w:val="00527C8D"/>
    <w:rsid w:val="00532F7C"/>
    <w:rsid w:val="005356AD"/>
    <w:rsid w:val="005456BC"/>
    <w:rsid w:val="00552CAD"/>
    <w:rsid w:val="005546FE"/>
    <w:rsid w:val="00554C03"/>
    <w:rsid w:val="0055604B"/>
    <w:rsid w:val="00560ABD"/>
    <w:rsid w:val="00563232"/>
    <w:rsid w:val="00563D22"/>
    <w:rsid w:val="00565F0B"/>
    <w:rsid w:val="00570AC2"/>
    <w:rsid w:val="00574055"/>
    <w:rsid w:val="005767A5"/>
    <w:rsid w:val="00583385"/>
    <w:rsid w:val="00584EA6"/>
    <w:rsid w:val="00585935"/>
    <w:rsid w:val="005915D0"/>
    <w:rsid w:val="00594C6F"/>
    <w:rsid w:val="00595171"/>
    <w:rsid w:val="005A62C2"/>
    <w:rsid w:val="005B0859"/>
    <w:rsid w:val="005C2569"/>
    <w:rsid w:val="005C3C5B"/>
    <w:rsid w:val="005D0C54"/>
    <w:rsid w:val="005D2BB9"/>
    <w:rsid w:val="005D3389"/>
    <w:rsid w:val="005E61C4"/>
    <w:rsid w:val="005F2DB8"/>
    <w:rsid w:val="005F46BC"/>
    <w:rsid w:val="005F62BB"/>
    <w:rsid w:val="005F7AF8"/>
    <w:rsid w:val="006019CD"/>
    <w:rsid w:val="006026D0"/>
    <w:rsid w:val="00602A5C"/>
    <w:rsid w:val="006033F6"/>
    <w:rsid w:val="0061523E"/>
    <w:rsid w:val="00623059"/>
    <w:rsid w:val="00632C14"/>
    <w:rsid w:val="006338B7"/>
    <w:rsid w:val="00635C49"/>
    <w:rsid w:val="00635E2C"/>
    <w:rsid w:val="0064147E"/>
    <w:rsid w:val="0064186C"/>
    <w:rsid w:val="0064249A"/>
    <w:rsid w:val="00646E67"/>
    <w:rsid w:val="00655C62"/>
    <w:rsid w:val="00656908"/>
    <w:rsid w:val="00662A1B"/>
    <w:rsid w:val="00665A07"/>
    <w:rsid w:val="00666EAE"/>
    <w:rsid w:val="006727CE"/>
    <w:rsid w:val="006801A6"/>
    <w:rsid w:val="0068762A"/>
    <w:rsid w:val="00694867"/>
    <w:rsid w:val="00695CFD"/>
    <w:rsid w:val="006A1CF4"/>
    <w:rsid w:val="006B47BB"/>
    <w:rsid w:val="006C6444"/>
    <w:rsid w:val="006D7402"/>
    <w:rsid w:val="006E2345"/>
    <w:rsid w:val="006E32E3"/>
    <w:rsid w:val="006E7385"/>
    <w:rsid w:val="006F0E02"/>
    <w:rsid w:val="006F232A"/>
    <w:rsid w:val="00701033"/>
    <w:rsid w:val="007049FE"/>
    <w:rsid w:val="007066D7"/>
    <w:rsid w:val="00706D60"/>
    <w:rsid w:val="007146BD"/>
    <w:rsid w:val="007160D4"/>
    <w:rsid w:val="007241B8"/>
    <w:rsid w:val="0072766F"/>
    <w:rsid w:val="00733284"/>
    <w:rsid w:val="00733934"/>
    <w:rsid w:val="00735944"/>
    <w:rsid w:val="00742D07"/>
    <w:rsid w:val="007533D1"/>
    <w:rsid w:val="007573AB"/>
    <w:rsid w:val="00764463"/>
    <w:rsid w:val="00767A17"/>
    <w:rsid w:val="00775275"/>
    <w:rsid w:val="007762ED"/>
    <w:rsid w:val="00795D45"/>
    <w:rsid w:val="007B127D"/>
    <w:rsid w:val="007B2321"/>
    <w:rsid w:val="007B2C30"/>
    <w:rsid w:val="007B36DA"/>
    <w:rsid w:val="007C4A38"/>
    <w:rsid w:val="007C7AE5"/>
    <w:rsid w:val="007D315C"/>
    <w:rsid w:val="007D41AA"/>
    <w:rsid w:val="007D679F"/>
    <w:rsid w:val="007D7303"/>
    <w:rsid w:val="007F0A0E"/>
    <w:rsid w:val="007F14B7"/>
    <w:rsid w:val="007F7AC3"/>
    <w:rsid w:val="007F7EFA"/>
    <w:rsid w:val="008046D0"/>
    <w:rsid w:val="00811889"/>
    <w:rsid w:val="008163E9"/>
    <w:rsid w:val="008206D4"/>
    <w:rsid w:val="008238D4"/>
    <w:rsid w:val="00835866"/>
    <w:rsid w:val="00837583"/>
    <w:rsid w:val="008477A3"/>
    <w:rsid w:val="00861B7A"/>
    <w:rsid w:val="00877327"/>
    <w:rsid w:val="008944FF"/>
    <w:rsid w:val="008A254A"/>
    <w:rsid w:val="008A32B4"/>
    <w:rsid w:val="008B29CB"/>
    <w:rsid w:val="008B556B"/>
    <w:rsid w:val="008D4F73"/>
    <w:rsid w:val="008E0A27"/>
    <w:rsid w:val="008E496A"/>
    <w:rsid w:val="008E73FB"/>
    <w:rsid w:val="00902FBE"/>
    <w:rsid w:val="0090379F"/>
    <w:rsid w:val="009064E1"/>
    <w:rsid w:val="00906C07"/>
    <w:rsid w:val="009074A7"/>
    <w:rsid w:val="0091669D"/>
    <w:rsid w:val="00917147"/>
    <w:rsid w:val="00936E8E"/>
    <w:rsid w:val="00937FD0"/>
    <w:rsid w:val="0094501B"/>
    <w:rsid w:val="00945B75"/>
    <w:rsid w:val="00952E6D"/>
    <w:rsid w:val="009545F6"/>
    <w:rsid w:val="0095479E"/>
    <w:rsid w:val="009648B7"/>
    <w:rsid w:val="009654A6"/>
    <w:rsid w:val="0096588C"/>
    <w:rsid w:val="009673E5"/>
    <w:rsid w:val="00971CB1"/>
    <w:rsid w:val="00973D14"/>
    <w:rsid w:val="009757D2"/>
    <w:rsid w:val="009800E1"/>
    <w:rsid w:val="00981695"/>
    <w:rsid w:val="0098260A"/>
    <w:rsid w:val="00986963"/>
    <w:rsid w:val="009878D1"/>
    <w:rsid w:val="00993475"/>
    <w:rsid w:val="00997AE7"/>
    <w:rsid w:val="009A0D2A"/>
    <w:rsid w:val="009A3727"/>
    <w:rsid w:val="009B1247"/>
    <w:rsid w:val="009C305D"/>
    <w:rsid w:val="009C539E"/>
    <w:rsid w:val="009C553C"/>
    <w:rsid w:val="009D32F6"/>
    <w:rsid w:val="009D66AE"/>
    <w:rsid w:val="009D68F4"/>
    <w:rsid w:val="009E2A12"/>
    <w:rsid w:val="00A00952"/>
    <w:rsid w:val="00A12E4B"/>
    <w:rsid w:val="00A167F1"/>
    <w:rsid w:val="00A17FA6"/>
    <w:rsid w:val="00A25ACA"/>
    <w:rsid w:val="00A33B8E"/>
    <w:rsid w:val="00A52CCD"/>
    <w:rsid w:val="00A632B2"/>
    <w:rsid w:val="00A65C5D"/>
    <w:rsid w:val="00A66894"/>
    <w:rsid w:val="00A747A0"/>
    <w:rsid w:val="00A749C2"/>
    <w:rsid w:val="00A7544B"/>
    <w:rsid w:val="00A75E5A"/>
    <w:rsid w:val="00A7699B"/>
    <w:rsid w:val="00A8030E"/>
    <w:rsid w:val="00A810B5"/>
    <w:rsid w:val="00A85FE8"/>
    <w:rsid w:val="00A8763E"/>
    <w:rsid w:val="00A9241E"/>
    <w:rsid w:val="00A96AF1"/>
    <w:rsid w:val="00AB73F6"/>
    <w:rsid w:val="00AC208C"/>
    <w:rsid w:val="00AC4AD6"/>
    <w:rsid w:val="00AD29A0"/>
    <w:rsid w:val="00AD5FA2"/>
    <w:rsid w:val="00AE0D42"/>
    <w:rsid w:val="00AE39F9"/>
    <w:rsid w:val="00AE4C0B"/>
    <w:rsid w:val="00AE524E"/>
    <w:rsid w:val="00AF387B"/>
    <w:rsid w:val="00AF4DAD"/>
    <w:rsid w:val="00B01213"/>
    <w:rsid w:val="00B05560"/>
    <w:rsid w:val="00B16470"/>
    <w:rsid w:val="00B214E3"/>
    <w:rsid w:val="00B24334"/>
    <w:rsid w:val="00B26357"/>
    <w:rsid w:val="00B26583"/>
    <w:rsid w:val="00B26AE1"/>
    <w:rsid w:val="00B327F3"/>
    <w:rsid w:val="00B45FFD"/>
    <w:rsid w:val="00B4688E"/>
    <w:rsid w:val="00B51B6E"/>
    <w:rsid w:val="00B65EA0"/>
    <w:rsid w:val="00B6744D"/>
    <w:rsid w:val="00B80B65"/>
    <w:rsid w:val="00B81092"/>
    <w:rsid w:val="00B82ADE"/>
    <w:rsid w:val="00B84633"/>
    <w:rsid w:val="00B90598"/>
    <w:rsid w:val="00B93D67"/>
    <w:rsid w:val="00B95E27"/>
    <w:rsid w:val="00BA7624"/>
    <w:rsid w:val="00BB69AE"/>
    <w:rsid w:val="00BE2149"/>
    <w:rsid w:val="00BE4EFA"/>
    <w:rsid w:val="00BF249A"/>
    <w:rsid w:val="00BF4C6D"/>
    <w:rsid w:val="00C02739"/>
    <w:rsid w:val="00C029E2"/>
    <w:rsid w:val="00C04599"/>
    <w:rsid w:val="00C0726A"/>
    <w:rsid w:val="00C146BD"/>
    <w:rsid w:val="00C14F9A"/>
    <w:rsid w:val="00C17140"/>
    <w:rsid w:val="00C34149"/>
    <w:rsid w:val="00C34D27"/>
    <w:rsid w:val="00C51661"/>
    <w:rsid w:val="00C57162"/>
    <w:rsid w:val="00C6142C"/>
    <w:rsid w:val="00C64CAF"/>
    <w:rsid w:val="00C65948"/>
    <w:rsid w:val="00C90A1B"/>
    <w:rsid w:val="00C9306C"/>
    <w:rsid w:val="00C933E5"/>
    <w:rsid w:val="00C95675"/>
    <w:rsid w:val="00CB4B41"/>
    <w:rsid w:val="00CB5FB1"/>
    <w:rsid w:val="00CB7B8C"/>
    <w:rsid w:val="00CB7E69"/>
    <w:rsid w:val="00CC3430"/>
    <w:rsid w:val="00CC5400"/>
    <w:rsid w:val="00CE1B4C"/>
    <w:rsid w:val="00CE43DB"/>
    <w:rsid w:val="00CE445B"/>
    <w:rsid w:val="00CE74A5"/>
    <w:rsid w:val="00CF515F"/>
    <w:rsid w:val="00D15FDF"/>
    <w:rsid w:val="00D16A84"/>
    <w:rsid w:val="00D21E3F"/>
    <w:rsid w:val="00D332CB"/>
    <w:rsid w:val="00D41D91"/>
    <w:rsid w:val="00D422D8"/>
    <w:rsid w:val="00D434E3"/>
    <w:rsid w:val="00D52ED9"/>
    <w:rsid w:val="00D6035A"/>
    <w:rsid w:val="00D60ADE"/>
    <w:rsid w:val="00D621F8"/>
    <w:rsid w:val="00D718C6"/>
    <w:rsid w:val="00D74852"/>
    <w:rsid w:val="00D86DD8"/>
    <w:rsid w:val="00DB358A"/>
    <w:rsid w:val="00DB3729"/>
    <w:rsid w:val="00DE0FFC"/>
    <w:rsid w:val="00DE7F55"/>
    <w:rsid w:val="00DF2409"/>
    <w:rsid w:val="00DF3851"/>
    <w:rsid w:val="00DF4675"/>
    <w:rsid w:val="00E01A0F"/>
    <w:rsid w:val="00E05671"/>
    <w:rsid w:val="00E05D73"/>
    <w:rsid w:val="00E20481"/>
    <w:rsid w:val="00E22D25"/>
    <w:rsid w:val="00E31371"/>
    <w:rsid w:val="00E34574"/>
    <w:rsid w:val="00E37AE9"/>
    <w:rsid w:val="00E4360D"/>
    <w:rsid w:val="00E55478"/>
    <w:rsid w:val="00E55874"/>
    <w:rsid w:val="00E563D0"/>
    <w:rsid w:val="00E62E92"/>
    <w:rsid w:val="00E64628"/>
    <w:rsid w:val="00E646B2"/>
    <w:rsid w:val="00E67933"/>
    <w:rsid w:val="00E723D9"/>
    <w:rsid w:val="00E83EFD"/>
    <w:rsid w:val="00E86343"/>
    <w:rsid w:val="00E92687"/>
    <w:rsid w:val="00EA1A15"/>
    <w:rsid w:val="00EA785E"/>
    <w:rsid w:val="00EB1A35"/>
    <w:rsid w:val="00EC0916"/>
    <w:rsid w:val="00EC1A77"/>
    <w:rsid w:val="00EC604C"/>
    <w:rsid w:val="00ED26AD"/>
    <w:rsid w:val="00EE0069"/>
    <w:rsid w:val="00EE7BB1"/>
    <w:rsid w:val="00EF2AF1"/>
    <w:rsid w:val="00EF5D1A"/>
    <w:rsid w:val="00EF6DC0"/>
    <w:rsid w:val="00F04F01"/>
    <w:rsid w:val="00F14421"/>
    <w:rsid w:val="00F25583"/>
    <w:rsid w:val="00F31870"/>
    <w:rsid w:val="00F33E5A"/>
    <w:rsid w:val="00F376A1"/>
    <w:rsid w:val="00F40351"/>
    <w:rsid w:val="00F44891"/>
    <w:rsid w:val="00F44F72"/>
    <w:rsid w:val="00F45813"/>
    <w:rsid w:val="00F470D4"/>
    <w:rsid w:val="00F70FF8"/>
    <w:rsid w:val="00F80A4D"/>
    <w:rsid w:val="00F80B81"/>
    <w:rsid w:val="00F82229"/>
    <w:rsid w:val="00F86001"/>
    <w:rsid w:val="00F97F1B"/>
    <w:rsid w:val="00FA42C6"/>
    <w:rsid w:val="00FB6EBF"/>
    <w:rsid w:val="00FC4131"/>
    <w:rsid w:val="00FC4CBD"/>
    <w:rsid w:val="00FD3231"/>
    <w:rsid w:val="00FD7D37"/>
    <w:rsid w:val="00FE186F"/>
    <w:rsid w:val="00FE6DAC"/>
    <w:rsid w:val="00FF10A9"/>
    <w:rsid w:val="00FF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455353"/>
  <w15:chartTrackingRefBased/>
  <w15:docId w15:val="{1FA3098A-69E7-403A-B8B3-86BC6386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6A1C"/>
    <w:pPr>
      <w:jc w:val="both"/>
    </w:pPr>
    <w:rPr>
      <w:rFonts w:ascii="Calibri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527C8D"/>
    <w:pPr>
      <w:keepNext/>
      <w:numPr>
        <w:numId w:val="13"/>
      </w:numPr>
      <w:spacing w:before="120" w:after="120"/>
      <w:outlineLvl w:val="0"/>
    </w:pPr>
    <w:rPr>
      <w:b/>
      <w:bCs/>
      <w:sz w:val="24"/>
    </w:rPr>
  </w:style>
  <w:style w:type="paragraph" w:styleId="Heading2">
    <w:name w:val="heading 2"/>
    <w:basedOn w:val="Heading1"/>
    <w:next w:val="Normal"/>
    <w:qFormat/>
    <w:rsid w:val="004A1458"/>
    <w:pPr>
      <w:numPr>
        <w:ilvl w:val="1"/>
      </w:numPr>
      <w:ind w:left="426"/>
      <w:outlineLvl w:val="1"/>
    </w:pPr>
    <w:rPr>
      <w:sz w:val="22"/>
      <w:szCs w:val="22"/>
    </w:rPr>
  </w:style>
  <w:style w:type="paragraph" w:styleId="Heading3">
    <w:name w:val="heading 3"/>
    <w:basedOn w:val="Heading1"/>
    <w:next w:val="Normal"/>
    <w:qFormat/>
    <w:rsid w:val="004A1458"/>
    <w:pPr>
      <w:numPr>
        <w:ilvl w:val="2"/>
      </w:numPr>
      <w:ind w:left="709" w:hanging="709"/>
      <w:outlineLvl w:val="2"/>
    </w:pPr>
    <w:rPr>
      <w:b w:val="0"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B1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5022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43669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669A"/>
  </w:style>
  <w:style w:type="paragraph" w:styleId="Header">
    <w:name w:val="header"/>
    <w:basedOn w:val="Normal"/>
    <w:rsid w:val="00E31371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5F7AF8"/>
    <w:rPr>
      <w:sz w:val="16"/>
      <w:szCs w:val="16"/>
    </w:rPr>
  </w:style>
  <w:style w:type="paragraph" w:styleId="CommentText">
    <w:name w:val="annotation text"/>
    <w:basedOn w:val="Normal"/>
    <w:semiHidden/>
    <w:rsid w:val="005F7AF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F7AF8"/>
    <w:rPr>
      <w:b/>
      <w:bCs/>
    </w:rPr>
  </w:style>
  <w:style w:type="paragraph" w:styleId="DocumentMap">
    <w:name w:val="Document Map"/>
    <w:basedOn w:val="Normal"/>
    <w:semiHidden/>
    <w:rsid w:val="00E5547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527C8D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27C8D"/>
    <w:rPr>
      <w:rFonts w:ascii="Calibri" w:eastAsia="Times New Roman" w:hAnsi="Calibri" w:cs="Times New Roman"/>
      <w:b/>
      <w:bCs/>
      <w:kern w:val="28"/>
      <w:sz w:val="32"/>
      <w:szCs w:val="32"/>
      <w:lang w:eastAsia="en-US"/>
    </w:rPr>
  </w:style>
  <w:style w:type="paragraph" w:styleId="Caption">
    <w:name w:val="caption"/>
    <w:basedOn w:val="Normal"/>
    <w:next w:val="Normal"/>
    <w:qFormat/>
    <w:rsid w:val="004A1458"/>
    <w:rPr>
      <w:b/>
      <w:bCs/>
      <w:sz w:val="20"/>
      <w:szCs w:val="20"/>
    </w:rPr>
  </w:style>
  <w:style w:type="character" w:customStyle="1" w:styleId="FooterChar">
    <w:name w:val="Footer Char"/>
    <w:link w:val="Footer"/>
    <w:uiPriority w:val="99"/>
    <w:rsid w:val="00EC604C"/>
    <w:rPr>
      <w:rFonts w:ascii="Calibri" w:hAnsi="Calibri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1650</Characters>
  <Application>Microsoft Office Word</Application>
  <DocSecurity>0</DocSecurity>
  <Lines>65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ODAŠILJAČI I VEZE d</vt:lpstr>
    </vt:vector>
  </TitlesOfParts>
  <Company>VIPNET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ODAŠILJAČI I VEZE d</dc:title>
  <dc:subject/>
  <dc:creator>denis</dc:creator>
  <cp:keywords/>
  <cp:lastModifiedBy>Senka Erslan</cp:lastModifiedBy>
  <cp:revision>3</cp:revision>
  <cp:lastPrinted>2010-01-11T14:28:00Z</cp:lastPrinted>
  <dcterms:created xsi:type="dcterms:W3CDTF">2022-12-28T16:35:00Z</dcterms:created>
  <dcterms:modified xsi:type="dcterms:W3CDTF">2022-12-28T16:35:00Z</dcterms:modified>
</cp:coreProperties>
</file>